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BAECF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</w:rPr>
      </w:pPr>
    </w:p>
    <w:p w14:paraId="4D7371BE">
      <w:pPr>
        <w:snapToGrid w:val="0"/>
        <w:spacing w:line="600" w:lineRule="exact"/>
        <w:ind w:right="800"/>
        <w:rPr>
          <w:rFonts w:hint="eastAsia" w:ascii="黑体" w:eastAsia="黑体"/>
          <w:b/>
          <w:szCs w:val="32"/>
        </w:rPr>
      </w:pPr>
    </w:p>
    <w:p w14:paraId="1866D768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</w:rPr>
      </w:pPr>
      <w:r>
        <w:rPr>
          <w:rFonts w:hint="eastAsia" w:ascii="黑体" w:eastAsia="黑体"/>
          <w:b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ge">
                  <wp:posOffset>2467610</wp:posOffset>
                </wp:positionV>
                <wp:extent cx="5622925" cy="110299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2925" cy="1102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EBDB34">
                            <w:pPr>
                              <w:snapToGrid w:val="0"/>
                              <w:jc w:val="center"/>
                              <w:rPr>
                                <w:rFonts w:hint="eastAsia" w:asciiTheme="majorEastAsia" w:hAnsiTheme="majorEastAsia" w:eastAsiaTheme="majorEastAsia" w:cstheme="majorEastAsia"/>
                                <w:b/>
                                <w:spacing w:val="-34"/>
                                <w:w w:val="52"/>
                                <w:kern w:val="0"/>
                                <w:sz w:val="112"/>
                                <w:szCs w:val="112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  <w:lang w:val="en-US" w:eastAsia="zh-CN"/>
                              </w:rPr>
                              <w:t>中共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</w:rPr>
                              <w:t>福建省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  <w:lang w:val="en-US" w:eastAsia="zh-CN"/>
                              </w:rPr>
                              <w:t>委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</w:rPr>
                              <w:t>科技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  <w:lang w:val="en-US" w:eastAsia="zh-CN"/>
                              </w:rPr>
                              <w:t>委员会办公室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b w:val="0"/>
                                <w:bCs w:val="0"/>
                                <w:color w:val="FF0000"/>
                                <w:spacing w:val="-34"/>
                                <w:w w:val="52"/>
                                <w:kern w:val="0"/>
                                <w:sz w:val="114"/>
                                <w:szCs w:val="114"/>
                              </w:rPr>
                              <w:t>文件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55pt;margin-top:194.3pt;height:86.85pt;width:442.75pt;mso-position-vertical-relative:page;z-index:251664384;mso-width-relative:page;mso-height-relative:page;" filled="f" stroked="f" coordsize="21600,21600" o:gfxdata="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9+sM59oAAAAKAQAADwAAAAAAAAABACAAAAAiAAAAZHJzL2Rvd25yZXYueG1s&#10;UEsBAhQAFAAAAAgAh07iQD22iWu9AQAAdQ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9EBDB34">
                      <w:pPr>
                        <w:snapToGrid w:val="0"/>
                        <w:jc w:val="center"/>
                        <w:rPr>
                          <w:rFonts w:hint="eastAsia" w:asciiTheme="majorEastAsia" w:hAnsiTheme="majorEastAsia" w:eastAsiaTheme="majorEastAsia" w:cstheme="majorEastAsia"/>
                          <w:b/>
                          <w:spacing w:val="-34"/>
                          <w:w w:val="52"/>
                          <w:kern w:val="0"/>
                          <w:sz w:val="112"/>
                          <w:szCs w:val="112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  <w:lang w:val="en-US" w:eastAsia="zh-CN"/>
                        </w:rPr>
                        <w:t>中共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</w:rPr>
                        <w:t>福建省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  <w:lang w:val="en-US" w:eastAsia="zh-CN"/>
                        </w:rPr>
                        <w:t>委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</w:rPr>
                        <w:t>科技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  <w:lang w:val="en-US" w:eastAsia="zh-CN"/>
                        </w:rPr>
                        <w:t>委员会办公室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b w:val="0"/>
                          <w:bCs w:val="0"/>
                          <w:color w:val="FF0000"/>
                          <w:spacing w:val="-34"/>
                          <w:w w:val="52"/>
                          <w:kern w:val="0"/>
                          <w:sz w:val="114"/>
                          <w:szCs w:val="114"/>
                        </w:rPr>
                        <w:t>文件</w:t>
                      </w:r>
                    </w:p>
                  </w:txbxContent>
                </v:textbox>
              </v:shape>
            </w:pict>
          </mc:Fallback>
        </mc:AlternateContent>
      </w:r>
    </w:p>
    <w:p w14:paraId="4720D6DF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</w:rPr>
      </w:pPr>
    </w:p>
    <w:p w14:paraId="6F9A6E50">
      <w:pPr>
        <w:snapToGrid w:val="0"/>
        <w:spacing w:line="600" w:lineRule="exact"/>
        <w:ind w:right="160"/>
        <w:jc w:val="both"/>
        <w:rPr>
          <w:rFonts w:hint="eastAsia" w:ascii="黑体" w:eastAsia="黑体"/>
          <w:b/>
          <w:szCs w:val="32"/>
        </w:rPr>
      </w:pPr>
    </w:p>
    <w:p w14:paraId="5CA2E9AD">
      <w:pPr>
        <w:snapToGrid w:val="0"/>
        <w:spacing w:line="600" w:lineRule="exact"/>
        <w:ind w:right="160"/>
        <w:jc w:val="both"/>
        <w:rPr>
          <w:rFonts w:hint="eastAsia" w:ascii="黑体" w:eastAsia="黑体"/>
          <w:b/>
          <w:szCs w:val="32"/>
        </w:rPr>
      </w:pPr>
    </w:p>
    <w:p w14:paraId="2182E40F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  <w:lang w:eastAsia="zh-CN"/>
        </w:rPr>
      </w:pPr>
    </w:p>
    <w:p w14:paraId="09C4D1AB">
      <w:pPr>
        <w:snapToGrid w:val="0"/>
        <w:spacing w:line="600" w:lineRule="exact"/>
        <w:ind w:right="160"/>
        <w:jc w:val="center"/>
        <w:rPr>
          <w:rFonts w:hint="eastAsia" w:ascii="黑体" w:eastAsia="仿宋_GB2312"/>
          <w:b/>
          <w:szCs w:val="32"/>
          <w:lang w:eastAsia="zh-CN"/>
        </w:rPr>
      </w:pPr>
      <w:r>
        <w:rPr>
          <w:rFonts w:hint="eastAsia"/>
        </w:rPr>
        <w:t>闽科委办〔</w:t>
      </w:r>
      <w:r>
        <w:rPr>
          <w:rFonts w:hint="eastAsia" w:ascii="仿宋_GB2312" w:hAnsi="仿宋_GB2312" w:eastAsia="仿宋_GB2312" w:cs="仿宋_GB2312"/>
        </w:rPr>
        <w:t>20</w:t>
      </w:r>
      <w:r>
        <w:rPr>
          <w:rFonts w:hint="eastAsia" w:ascii="仿宋_GB2312" w:hAnsi="仿宋_GB2312" w:eastAsia="仿宋_GB2312" w:cs="仿宋_GB2312"/>
          <w:lang w:val="en-US" w:eastAsia="zh-CN"/>
        </w:rPr>
        <w:t>26</w:t>
      </w:r>
      <w:r>
        <w:rPr>
          <w:rFonts w:hint="eastAsia"/>
        </w:rPr>
        <w:t>〕</w:t>
      </w:r>
      <w:r>
        <w:rPr>
          <w:rFonts w:hint="eastAsia" w:ascii="仿宋_GB2312" w:hAnsi="仿宋_GB2312" w:eastAsia="仿宋_GB2312" w:cs="仿宋_GB2312"/>
          <w:lang w:val="en-US" w:eastAsia="zh-CN"/>
        </w:rPr>
        <w:t>2</w:t>
      </w:r>
      <w:r>
        <w:rPr>
          <w:rFonts w:hint="eastAsia"/>
        </w:rPr>
        <w:t>号</w:t>
      </w:r>
    </w:p>
    <w:p w14:paraId="6841F69A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177800</wp:posOffset>
                </wp:positionV>
                <wp:extent cx="5638165" cy="5080"/>
                <wp:effectExtent l="0" t="0" r="0" b="0"/>
                <wp:wrapNone/>
                <wp:docPr id="16" name="直接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165" cy="508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1pt;margin-top:14pt;height:0.4pt;width:443.95pt;z-index:251663360;mso-width-relative:page;mso-height-relative:page;" filled="f" stroked="t" coordsize="21600,21600" o:gfxdata="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LAjddDYAAAACAEAAA8AAAAAAAAAAQAgAAAAIgAAAGRycy9k&#10;b3ducmV2LnhtbFBLAQIUABQAAAAIAIdO4kBNQkGxAgIAAPQDAAAOAAAAAAAAAAEAIAAAACcBAABk&#10;cnMvZTJvRG9jLnhtbFBLBQYAAAAABgAGAFkBAACb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646BA131">
      <w:pPr>
        <w:snapToGrid w:val="0"/>
        <w:spacing w:line="600" w:lineRule="exact"/>
        <w:ind w:right="160"/>
        <w:jc w:val="right"/>
        <w:rPr>
          <w:rFonts w:hint="eastAsia" w:ascii="黑体" w:eastAsia="黑体"/>
          <w:b/>
          <w:szCs w:val="32"/>
        </w:rPr>
      </w:pPr>
    </w:p>
    <w:p w14:paraId="68376C53"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中共福建省委科技委员会办公室关于</w:t>
      </w:r>
    </w:p>
    <w:p w14:paraId="72C696E6"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推广“企业家+科学家+投资人”</w:t>
      </w:r>
    </w:p>
    <w:p w14:paraId="32F86A4E">
      <w:pPr>
        <w:snapToGrid w:val="0"/>
        <w:spacing w:line="600" w:lineRule="exact"/>
        <w:jc w:val="center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协同创新模式的通知</w:t>
      </w:r>
      <w:bookmarkStart w:id="0" w:name="_GoBack"/>
      <w:bookmarkEnd w:id="0"/>
    </w:p>
    <w:p w14:paraId="7FBD7611">
      <w:pPr>
        <w:spacing w:line="600" w:lineRule="exact"/>
        <w:rPr>
          <w:rFonts w:hint="eastAsia" w:ascii="仿宋_GB2312" w:hAnsi="仿宋_GB2312" w:cs="仿宋_GB2312"/>
          <w:bCs/>
          <w:lang w:eastAsia="zh-CN"/>
        </w:rPr>
      </w:pPr>
    </w:p>
    <w:p w14:paraId="3BDC174C">
      <w:pPr>
        <w:spacing w:line="600" w:lineRule="exact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cs="仿宋_GB2312"/>
          <w:bCs/>
          <w:lang w:eastAsia="zh-CN"/>
        </w:rPr>
        <w:t>省委科技委成员单位，各设区市市委科技办、平潭综合实验区经发局</w:t>
      </w:r>
      <w:r>
        <w:rPr>
          <w:rFonts w:hint="eastAsia" w:ascii="仿宋_GB2312" w:hAnsi="仿宋_GB2312" w:eastAsia="仿宋_GB2312" w:cs="仿宋_GB2312"/>
          <w:bCs/>
        </w:rPr>
        <w:t>：</w:t>
      </w:r>
    </w:p>
    <w:p w14:paraId="3E164E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近期，全省各级各部门深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入学习贯彻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习近平总书记关于科技创新和产业创新的重要论述，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认真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落实中央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和省委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经济工作会议精神及省政府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工作报告的部署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要求，聚焦推动科技创新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产业创新深度融合，积极探索、大胆实践，形成了一批可复制推广的创新成果。其中，“企业家+科学家+投资</w:t>
      </w:r>
      <w:r>
        <w:rPr>
          <w:rFonts w:hint="eastAsia" w:ascii="仿宋_GB2312" w:hAnsi="仿宋_GB2312" w:cs="仿宋_GB2312"/>
          <w:kern w:val="0"/>
          <w:sz w:val="32"/>
          <w:szCs w:val="32"/>
          <w:lang w:eastAsia="zh-CN" w:bidi="ar"/>
        </w:rPr>
        <w:t>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”协同创新等模式成效显著，有效促进了创新链、产业链、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人才链和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资金链的精准对接与深度融合。</w:t>
      </w:r>
    </w:p>
    <w:p w14:paraId="1E1AAD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Lines="0" w:afterLines="0" w:line="600" w:lineRule="exact"/>
        <w:ind w:left="0" w:leftChars="0" w:firstLine="64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经梳理总结，现将晋江市、莆田市等地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创新模式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予以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推广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。请各地各</w:t>
      </w:r>
      <w:r>
        <w:rPr>
          <w:rFonts w:hint="eastAsia" w:ascii="仿宋_GB2312" w:hAnsi="仿宋_GB2312" w:cs="仿宋_GB2312"/>
          <w:kern w:val="0"/>
          <w:sz w:val="32"/>
          <w:szCs w:val="32"/>
          <w:lang w:eastAsia="zh-CN" w:bidi="ar"/>
        </w:rPr>
        <w:t>有关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部门结合实际，认真学习借鉴，持续深化改革创新，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 w:bidi="ar"/>
        </w:rPr>
        <w:t>进一步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bidi="ar"/>
        </w:rPr>
        <w:t>强化有组织的科研攻关、成果转化及创业投资，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以科技创新引领培育发展新质生产力，为推动高质量发展提供有力科技支撑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。</w:t>
      </w:r>
    </w:p>
    <w:p w14:paraId="4C1DF8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5BB782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1920" w:leftChars="200" w:hanging="1280" w:hangingChars="4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附件：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1.晋江市以“企业家+科学家”融合创新机制 激发全社会创新创业活力</w:t>
      </w:r>
    </w:p>
    <w:p w14:paraId="62D367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1600" w:firstLineChars="5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搭建莆籍科技桥梁 激活创新创造动能</w:t>
      </w:r>
    </w:p>
    <w:p w14:paraId="1979DB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72D973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50F8DF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60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 xml:space="preserve">                  中共福建省委科技委员会办公室</w:t>
      </w:r>
    </w:p>
    <w:p w14:paraId="043265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600" w:lineRule="exact"/>
        <w:ind w:left="0" w:leftChars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 xml:space="preserve">                  2026年</w:t>
      </w:r>
      <w:r>
        <w:rPr>
          <w:rFonts w:hint="eastAsia" w:ascii="仿宋_GB2312" w:hAnsi="仿宋_GB2312" w:cs="仿宋_GB2312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月</w:t>
      </w:r>
      <w:r>
        <w:rPr>
          <w:rFonts w:hint="eastAsia" w:ascii="仿宋_GB2312" w:hAnsi="仿宋_GB2312" w:cs="仿宋_GB2312"/>
          <w:kern w:val="0"/>
          <w:sz w:val="32"/>
          <w:szCs w:val="32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日</w:t>
      </w:r>
    </w:p>
    <w:p w14:paraId="30922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（此件主动公开）</w:t>
      </w:r>
    </w:p>
    <w:p w14:paraId="47C5A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br w:type="page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38743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E76B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  <w:t>晋江市以“企业家+科学家”融合创新机制</w:t>
      </w:r>
    </w:p>
    <w:p w14:paraId="23C14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  <w:t>激发全社会创新创业活力</w:t>
      </w:r>
    </w:p>
    <w:p w14:paraId="700A5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</w:pPr>
    </w:p>
    <w:p w14:paraId="47FF0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16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2025年以来，晋江市大力推行“企业家+科学家”融合创新工作机制，充分激活企业家、科学家两大群体创新合力，让“懂技术”的科学家与“懂市场”的企业家双向奔赴、好资金与好技术深度融合，助推科技创新加速从“实验室”走向“生产线”。</w:t>
      </w:r>
    </w:p>
    <w:p w14:paraId="1E598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singl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一、锚定权责闭环，建强调度中枢。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一是强化中枢统筹。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24"/>
          <w:u w:val="none"/>
          <w:lang w:val="en-US" w:eastAsia="zh-CN"/>
        </w:rPr>
        <w:t>建立“1+N”调度组织架构，市委科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创办作为牵头统筹单位，充分发挥“总协调、总调度、总督办”职能作用，围绕科技创新激励措施、科企双向对接机制、科创平台提能增效等重点工作，开展调度18场次。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二是强化分级协同。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市级层面聚焦“顶层统筹”，调度解决跨部门、跨领域重大问题21个。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24"/>
          <w:u w:val="none"/>
          <w:lang w:val="en-US" w:eastAsia="zh-CN"/>
        </w:rPr>
        <w:t>部门层面聚焦“专业推进”，推进三大资源库更新、项目筛选评估与落地服务。镇域层面聚焦“属地保障”，推进辖区企业技术需求摸排与项目配套服务。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三是强化全链保障。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24"/>
          <w:u w:val="none"/>
          <w:lang w:val="en-US" w:eastAsia="zh-CN"/>
        </w:rPr>
        <w:t>全方位保障项目“筛选—匹配—投孵—落地”链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条，以“单一窗口”服务模式，推进政策、空间、融资等要素“点对点”跟踪保障，促成无氟安踏膜、同威电子等86个前沿技术及项目落地。</w:t>
      </w:r>
    </w:p>
    <w:p w14:paraId="2F1A4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二、聚焦精准对接，打通融合通道。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一是筑牢融合“基础盘”。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构建</w:t>
      </w:r>
      <w:r>
        <w:rPr>
          <w:rFonts w:hint="eastAsia" w:ascii="仿宋_GB2312" w:hAnsi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企业家资源库、科学家资源库与项目资源库等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三大资源库，</w:t>
      </w:r>
      <w:r>
        <w:rPr>
          <w:rFonts w:hint="eastAsia" w:ascii="仿宋_GB2312" w:hAnsi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已收录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602名新生代企业家、706名科学家（科技专家）及1220项技术需求和招商项目；推进线上线下一体化服务，出台项目对接陪跑服务实施方案，建立系统服务企业、深度陪跑项目的工作机制，正式发布微信小程序“晋江科创港”，以“AI智能匹配、全维度隐私保护”为核心，让企业家与科学家随时随地在线实现精准高效、安全无忧“配对”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二是打通对接“主动脉”。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“政企研”协同搭建常态联系网络，目前已举办“百名青年企业家走进合肥”“科技赶集日”“创智汇”“创享汇”等活动50余场，推动新增登记技术合同217项、金额6.01亿元。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三是提速项目落地“最后一公里”。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探索“企业需求发榜、科学家揭榜领题、院校分包攻关”模式，加速产业化进程，比如清华同威电子和清华大学工程物理系共建的“高能粒子超临界材料创研中心”，联合晋江鑫煌鞋材，仅用两个月时间就研发推出长效光变产品，成功将实验室技术转化为市场“黑马”爆品。</w:t>
      </w:r>
    </w:p>
    <w:p w14:paraId="6E359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三、厚植创新生态，激活发展动能。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一是融入飞地网络。</w:t>
      </w:r>
      <w:r>
        <w:rPr>
          <w:rFonts w:hint="eastAsia" w:ascii="仿宋_GB2312" w:hAnsi="仿宋_GB2312" w:eastAsia="仿宋_GB2312" w:cs="仿宋_GB2312"/>
          <w:color w:val="000000"/>
          <w:spacing w:val="-6"/>
          <w:sz w:val="32"/>
          <w:szCs w:val="24"/>
          <w:u w:val="none"/>
          <w:lang w:val="en-US" w:eastAsia="zh-CN"/>
        </w:rPr>
        <w:t>在外泉州籍科学家入驻人才科创飞地，通过“异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地孵化+本土产业化”的闭环，已导入科创项目26个、产业化落地项目7个，成功链接深圳、武汉、西安、合肥等跨区域创新资源。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二是嵌入中试平台。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聚合高校院所、创新平台、中试基地及科技企业等各方资源力量，推行科技成果转化“先使用后付费”模式，建成5个中试验证平台，有力降低企业研发和运营综合成本，推动新增产学研项目1021项。</w:t>
      </w:r>
      <w:r>
        <w:rPr>
          <w:rFonts w:hint="eastAsia" w:ascii="楷体_GB2312" w:hAnsi="楷体_GB2312" w:eastAsia="楷体_GB2312" w:cs="楷体_GB2312"/>
          <w:color w:val="000000"/>
          <w:spacing w:val="0"/>
          <w:kern w:val="2"/>
          <w:sz w:val="32"/>
          <w:szCs w:val="24"/>
          <w:u w:val="none"/>
          <w:lang w:val="en-US" w:eastAsia="zh-CN" w:bidi="ar-SA"/>
        </w:rPr>
        <w:t>三是注入资本活水。</w:t>
      </w: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  <w:t>注重“政府牵引撬动、产业基金领投、民营资本跟进”，构建包含天使投资、创业投资、产业投资基金的“1+X”产业基金矩阵，目前产业引导基金规模已超500亿元，累计投资项目287个、资金超163亿元。同时，以民营资本为主成立晋江未来新产业创业投资基金联盟，促成7个涵盖高端医疗装备、核药研发、医疗器械等领域项目集中落地泉厦金生命健康硅谷。</w:t>
      </w:r>
    </w:p>
    <w:p w14:paraId="44B85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</w:p>
    <w:p w14:paraId="594D9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</w:p>
    <w:p w14:paraId="42D35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</w:p>
    <w:p w14:paraId="1CBCD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16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pacing w:val="-6"/>
          <w:sz w:val="32"/>
          <w:szCs w:val="24"/>
          <w:u w:val="none"/>
          <w:lang w:val="en-US" w:eastAsia="zh-CN"/>
        </w:rPr>
      </w:pPr>
    </w:p>
    <w:p w14:paraId="08C84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br w:type="page"/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09071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49BA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  <w:t>搭建莆籍科技桥梁 激活创新创造动能</w:t>
      </w:r>
    </w:p>
    <w:p w14:paraId="45A93B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——莆田市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设立</w:t>
      </w:r>
      <w:r>
        <w:rPr>
          <w:rFonts w:hint="eastAsia" w:ascii="楷体_GB2312" w:hAnsi="楷体_GB2312" w:eastAsia="楷体_GB2312" w:cs="楷体_GB2312"/>
          <w:sz w:val="32"/>
          <w:szCs w:val="32"/>
        </w:rPr>
        <w:t>北京莆籍科技工作者委员会</w:t>
      </w:r>
    </w:p>
    <w:p w14:paraId="7D603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促进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科学家、企业家、投资家“三大家”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对接协同</w:t>
      </w:r>
    </w:p>
    <w:p w14:paraId="0E9CD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56E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莆田市立足“莆智回归”战略与京莆协同发展定位，以莆籍乡情为情感纽带，依托北京莆籍科技工作者委员会（以下简称“京莆科委会”），搭建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专家</w:t>
      </w:r>
      <w:r>
        <w:rPr>
          <w:rFonts w:hint="eastAsia" w:ascii="仿宋_GB2312" w:hAnsi="仿宋_GB2312" w:eastAsia="仿宋_GB2312" w:cs="仿宋_GB2312"/>
          <w:sz w:val="32"/>
          <w:szCs w:val="32"/>
        </w:rPr>
        <w:t>与企业家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面</w:t>
      </w:r>
      <w:r>
        <w:rPr>
          <w:rFonts w:hint="eastAsia" w:ascii="仿宋_GB2312" w:hAnsi="仿宋_GB2312" w:eastAsia="仿宋_GB2312" w:cs="仿宋_GB2312"/>
          <w:sz w:val="32"/>
          <w:szCs w:val="32"/>
        </w:rPr>
        <w:t>对面沟通对接渠道，有效激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</w:t>
      </w:r>
      <w:r>
        <w:rPr>
          <w:rFonts w:hint="eastAsia" w:ascii="仿宋_GB2312" w:hAnsi="仿宋_GB2312" w:eastAsia="仿宋_GB2312" w:cs="仿宋_GB2312"/>
          <w:sz w:val="32"/>
          <w:szCs w:val="32"/>
        </w:rPr>
        <w:t>在京莆籍科技、资本、产业资源活力。</w:t>
      </w:r>
    </w:p>
    <w:p w14:paraId="1F3CF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搭建平台，夯实协同基础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在市委市政府统筹下，组织推动在京</w:t>
      </w:r>
      <w:r>
        <w:rPr>
          <w:rFonts w:hint="eastAsia" w:ascii="仿宋_GB2312" w:hAnsi="仿宋_GB2312" w:eastAsia="仿宋_GB2312" w:cs="仿宋_GB2312"/>
          <w:sz w:val="32"/>
          <w:szCs w:val="32"/>
        </w:rPr>
        <w:t>莆籍科技工作者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成立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京莆科委会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，作为市科协的一个专委会。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科委会以科研成果转化、产业转型赋能、技术咨询服务、人才引进与科技教育提升“四个服务”为宗旨，打破地域、行业、领域壁垒，下设电子信息、材料能源等9个专业委员会，覆盖电子信息、医学与药学等多个领域，汇聚清华大学、北京大学、中国航天系统科学与工程研究院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国内顶尖</w:t>
      </w:r>
      <w:r>
        <w:rPr>
          <w:rFonts w:hint="eastAsia" w:ascii="仿宋_GB2312" w:hAnsi="仿宋_GB2312" w:eastAsia="仿宋_GB2312" w:cs="仿宋_GB2312"/>
          <w:sz w:val="32"/>
          <w:szCs w:val="32"/>
        </w:rPr>
        <w:t>高校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院所</w:t>
      </w:r>
      <w:r>
        <w:rPr>
          <w:rFonts w:hint="eastAsia" w:ascii="仿宋_GB2312" w:hAnsi="仿宋_GB2312" w:eastAsia="仿宋_GB2312" w:cs="仿宋_GB2312"/>
          <w:sz w:val="32"/>
          <w:szCs w:val="32"/>
        </w:rPr>
        <w:t>的莆籍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专家</w:t>
      </w:r>
      <w:r>
        <w:rPr>
          <w:rFonts w:hint="eastAsia" w:ascii="仿宋_GB2312" w:hAnsi="仿宋_GB2312" w:eastAsia="仿宋_GB2312" w:cs="仿宋_GB2312"/>
          <w:sz w:val="32"/>
          <w:szCs w:val="32"/>
        </w:rPr>
        <w:t>精英，联动北京莆田企业商会吸纳本土及在京莆籍企业家力量，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广泛</w:t>
      </w:r>
      <w:r>
        <w:rPr>
          <w:rFonts w:hint="eastAsia" w:ascii="仿宋_GB2312" w:hAnsi="仿宋_GB2312" w:eastAsia="仿宋_GB2312" w:cs="仿宋_GB2312"/>
          <w:sz w:val="32"/>
          <w:szCs w:val="32"/>
        </w:rPr>
        <w:t>对接投资机构、莆籍投资家资源。依托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</w:rPr>
        <w:t>人才智慧云平台，为京莆两地资源精准对接提供坚实的组织保障与要素支撑。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58F52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二、创新机制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，推动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直面对接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京莆科委会牵头搭建多维度、常态化协同对接机制，将分散的乡贤资源整合为有组织的协同行动。一是开展实地观摩与专题研讨，组织莆籍企业家、投资家赴软通动力等高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</w:rPr>
        <w:t>企业实地考察，邀请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行业专家</w:t>
      </w:r>
      <w:r>
        <w:rPr>
          <w:rFonts w:hint="eastAsia" w:ascii="仿宋_GB2312" w:hAnsi="仿宋_GB2312" w:eastAsia="仿宋_GB2312" w:cs="仿宋_GB2312"/>
          <w:sz w:val="32"/>
          <w:szCs w:val="32"/>
        </w:rPr>
        <w:t>解析AI与传统产业融合趋势、半导体设备国产化等关键议题，为企业家明晰转型方向、投资家找准投资赛道提供智力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支撑。</w:t>
      </w:r>
      <w:r>
        <w:rPr>
          <w:rFonts w:hint="eastAsia" w:ascii="仿宋_GB2312" w:hAnsi="仿宋_GB2312" w:eastAsia="仿宋_GB2312" w:cs="仿宋_GB2312"/>
          <w:sz w:val="32"/>
          <w:szCs w:val="32"/>
        </w:rPr>
        <w:t>二是常态化举办产业对接会、主题沙龙与项目路演，</w:t>
      </w:r>
      <w:r>
        <w:rPr>
          <w:rFonts w:hint="eastAsia" w:ascii="仿宋_GB2312" w:hAnsi="仿宋_GB2312" w:cs="仿宋_GB2312"/>
          <w:sz w:val="32"/>
          <w:szCs w:val="32"/>
          <w:lang w:eastAsia="zh-CN"/>
        </w:rPr>
        <w:t>定期</w:t>
      </w:r>
      <w:r>
        <w:rPr>
          <w:rFonts w:hint="eastAsia" w:ascii="仿宋_GB2312" w:hAnsi="仿宋_GB2312" w:eastAsia="仿宋_GB2312" w:cs="仿宋_GB2312"/>
          <w:sz w:val="32"/>
          <w:szCs w:val="32"/>
        </w:rPr>
        <w:t>邀请科学家分享前沿科技动态、展示科研成果，企业家现场发布技术需求、产业痛点，投资家精准对接优质项目、提供资金支持，促成多项技术合作、项目落地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三是推动各专业委员会精准发力，材料能源、土木建筑等专委会聚焦细分领域开展跨领域探讨与行业沙龙，新闻传播、文化教育等专委会搭建信息互通桥梁，经济与法律专委会为“三大家”协同创新筑牢法律保障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20EE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三、聚焦需求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，强化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精准赋能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京莆科委会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聚焦莆田市重点</w:t>
      </w:r>
      <w:r>
        <w:rPr>
          <w:rFonts w:hint="eastAsia" w:ascii="仿宋_GB2312" w:hAnsi="仿宋_GB2312" w:eastAsia="仿宋_GB2312" w:cs="仿宋_GB2312"/>
          <w:sz w:val="32"/>
          <w:szCs w:val="32"/>
        </w:rPr>
        <w:t>产业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创新</w:t>
      </w:r>
      <w:r>
        <w:rPr>
          <w:rFonts w:hint="eastAsia" w:ascii="仿宋_GB2312" w:hAnsi="仿宋_GB2312" w:eastAsia="仿宋_GB2312" w:cs="仿宋_GB2312"/>
          <w:sz w:val="32"/>
          <w:szCs w:val="32"/>
        </w:rPr>
        <w:t>发展需求，推动“三大家”协同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发力</w:t>
      </w:r>
      <w:r>
        <w:rPr>
          <w:rFonts w:hint="eastAsia" w:ascii="仿宋_GB2312" w:hAnsi="仿宋_GB2312" w:eastAsia="仿宋_GB2312" w:cs="仿宋_GB2312"/>
          <w:sz w:val="32"/>
          <w:szCs w:val="32"/>
        </w:rPr>
        <w:t>，以产业赋能、智力支援、资金助力为抓手，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精准对接、高效赋能，</w:t>
      </w:r>
      <w:r>
        <w:rPr>
          <w:rFonts w:hint="eastAsia" w:ascii="仿宋_GB2312" w:hAnsi="仿宋_GB2312" w:eastAsia="仿宋_GB2312" w:cs="仿宋_GB2312"/>
          <w:sz w:val="32"/>
          <w:szCs w:val="32"/>
        </w:rPr>
        <w:t>为家乡高质量发展注入强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劲动能。在产业赋能方面，推动吴一弦教授团队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高性能合成橡胶技术等优质科研成果与本地鞋服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行业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传统企业需求精准对接，企业家承接技术成果、推动产业化应用，投资家跟进配套资金、助力技术落地，推动传统产业转型升级。在人才培育方面，联动实施人才“壶兰计划”，邀请潘坚教授等科学家开展科普讲座、助力莆籍学子成长，为协同创新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培养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后备力量。在服务发展方面，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围绕市重点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产业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升级和科技教育提升，协助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开展技术咨询与人才引进工作。</w:t>
      </w:r>
    </w:p>
    <w:p w14:paraId="19189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四、跨界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融合，拓展协同空间。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京莆科委会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充分发挥</w:t>
      </w:r>
      <w:r>
        <w:rPr>
          <w:rFonts w:hint="eastAsia" w:ascii="仿宋_GB2312" w:hAnsi="仿宋_GB2312" w:eastAsia="仿宋_GB2312" w:cs="仿宋_GB2312"/>
          <w:sz w:val="32"/>
          <w:szCs w:val="32"/>
        </w:rPr>
        <w:t>京莆两地交流协作重要枢纽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作用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持续</w:t>
      </w:r>
      <w:r>
        <w:rPr>
          <w:rFonts w:hint="eastAsia" w:ascii="仿宋_GB2312" w:hAnsi="仿宋_GB2312" w:eastAsia="仿宋_GB2312" w:cs="仿宋_GB2312"/>
          <w:sz w:val="32"/>
          <w:szCs w:val="32"/>
        </w:rPr>
        <w:t>创新活动形式，推动“三大家”跨界协作、深度融合，拓展协同创新空间，促进京莆两地资源互补、产业协同。通过“线上交流群+线下活动”相结合的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方式</w:t>
      </w:r>
      <w:r>
        <w:rPr>
          <w:rFonts w:hint="eastAsia" w:ascii="仿宋_GB2312" w:hAnsi="仿宋_GB2312" w:eastAsia="仿宋_GB2312" w:cs="仿宋_GB2312"/>
          <w:sz w:val="32"/>
          <w:szCs w:val="32"/>
        </w:rPr>
        <w:t>，实现科学家、企业家、投资家之间信息及时共享、问题高效探讨、资源精准匹配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新闻与传播专委会在晓月重工文体创新园搭建行业信息互通桥梁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文化教育专委会举办798艺术园区参访及艺术茶叙活动，推动文化艺术领域的交流传承，为“三大家”协同创新注入文化活力；联动天元律师事务所，开展科技成果转化法律实务交流，为科技创新筑牢法律保障。</w:t>
      </w:r>
    </w:p>
    <w:p w14:paraId="489DE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目前，在莆田市引导、北京莆田企业商会主导下，京莆科委会已成为企科对接的“粘合剂”、人才集聚的“强磁场”与京莆协同的“连心桥”，持续激活莆商莆智力量，为两地科技交流、产业合作与人才培养提供有力支撑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成为</w:t>
      </w:r>
      <w:r>
        <w:rPr>
          <w:rFonts w:hint="eastAsia" w:ascii="仿宋_GB2312" w:hAnsi="仿宋_GB2312" w:eastAsia="仿宋_GB2312" w:cs="仿宋_GB2312"/>
          <w:sz w:val="32"/>
          <w:szCs w:val="32"/>
        </w:rPr>
        <w:t>高质量发展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的重要助力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198934AC">
      <w:pPr>
        <w:snapToGrid w:val="0"/>
        <w:spacing w:line="600" w:lineRule="exact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-1905</wp:posOffset>
                </wp:positionH>
                <wp:positionV relativeFrom="page">
                  <wp:posOffset>9053195</wp:posOffset>
                </wp:positionV>
                <wp:extent cx="5630545" cy="396240"/>
                <wp:effectExtent l="0" t="0" r="0" b="0"/>
                <wp:wrapTopAndBottom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054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A1A7DF">
                            <w:pPr>
                              <w:ind w:firstLine="280" w:firstLineChars="100"/>
                              <w:jc w:val="left"/>
                              <w:rPr>
                                <w:rFonts w:hint="eastAsia" w:ascii="仿宋_GB2312" w:eastAsia="仿宋_GB231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cs="仿宋_GB2312"/>
                                <w:sz w:val="28"/>
                                <w:szCs w:val="28"/>
                              </w:rPr>
                              <w:t>中共福建省委科技委员会办公室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kern w:val="0"/>
                                <w:sz w:val="28"/>
                                <w:szCs w:val="28"/>
                                <w:lang w:val="en-US" w:eastAsia="zh-CN" w:bidi="ar"/>
                              </w:rPr>
                              <w:t>2026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sz w:val="28"/>
                                <w:szCs w:val="28"/>
                                <w:lang w:val="en-US" w:eastAsia="zh-CN"/>
                              </w:rPr>
                              <w:t>年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kern w:val="0"/>
                                <w:sz w:val="28"/>
                                <w:szCs w:val="28"/>
                                <w:lang w:val="en-US" w:eastAsia="zh-CN" w:bidi="ar"/>
                              </w:rPr>
                              <w:t>4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sz w:val="28"/>
                                <w:szCs w:val="28"/>
                                <w:lang w:val="en-US" w:eastAsia="zh-CN"/>
                              </w:rPr>
                              <w:t>月2日印发</w:t>
                            </w:r>
                            <w:r>
                              <w:rPr>
                                <w:rFonts w:hint="eastAsia" w:ascii="仿宋_GB2312" w:hAnsi="仿宋_GB2312" w:cs="仿宋_GB2312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>
                              <w:rPr>
                                <w:rFonts w:hint="eastAsia"/>
                              </w:rPr>
                              <w:t xml:space="preserve">   «printdate»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15pt;margin-top:712.85pt;height:31.2pt;width:443.35pt;mso-position-horizontal-relative:margin;mso-position-vertical-relative:page;mso-wrap-distance-bottom:0pt;mso-wrap-distance-top:0pt;z-index:251662336;mso-width-relative:page;mso-height-relative:page;" filled="f" stroked="f" coordsize="21600,21600" o:gfxdata="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DCTqr2gAAAAsBAAAPAAAAAAAAAAEAIAAAACIAAABkcnMvZG93bnJldi54bWxQ&#10;SwECFAAUAAAACACHTuJAGn9ECLwBAABy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A1A7DF">
                      <w:pPr>
                        <w:ind w:firstLine="280" w:firstLineChars="100"/>
                        <w:jc w:val="left"/>
                        <w:rPr>
                          <w:rFonts w:hint="eastAsia" w:ascii="仿宋_GB2312" w:eastAsia="仿宋_GB2312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cs="仿宋_GB2312"/>
                          <w:sz w:val="28"/>
                          <w:szCs w:val="28"/>
                        </w:rPr>
                        <w:t>中共福建省委科技委员会办公室</w:t>
                      </w:r>
                      <w:r>
                        <w:rPr>
                          <w:rFonts w:hint="eastAsia" w:ascii="仿宋_GB2312" w:hAnsi="仿宋_GB2312" w:cs="仿宋_GB2312"/>
                          <w:sz w:val="28"/>
                          <w:szCs w:val="28"/>
                          <w:lang w:val="en-US" w:eastAsia="zh-CN"/>
                        </w:rPr>
                        <w:t xml:space="preserve">            </w:t>
                      </w:r>
                      <w:r>
                        <w:rPr>
                          <w:rFonts w:hint="eastAsia" w:ascii="仿宋_GB2312" w:hAnsi="仿宋_GB2312" w:eastAsia="仿宋_GB2312" w:cs="仿宋_GB2312"/>
                          <w:kern w:val="0"/>
                          <w:sz w:val="28"/>
                          <w:szCs w:val="28"/>
                          <w:lang w:val="en-US" w:eastAsia="zh-CN" w:bidi="ar"/>
                        </w:rPr>
                        <w:t>2026</w:t>
                      </w:r>
                      <w:r>
                        <w:rPr>
                          <w:rFonts w:hint="eastAsia" w:ascii="仿宋_GB2312" w:hAnsi="仿宋_GB2312" w:cs="仿宋_GB2312"/>
                          <w:sz w:val="28"/>
                          <w:szCs w:val="28"/>
                          <w:lang w:val="en-US" w:eastAsia="zh-CN"/>
                        </w:rPr>
                        <w:t>年</w:t>
                      </w:r>
                      <w:r>
                        <w:rPr>
                          <w:rFonts w:hint="eastAsia" w:ascii="仿宋_GB2312" w:hAnsi="仿宋_GB2312" w:cs="仿宋_GB2312"/>
                          <w:kern w:val="0"/>
                          <w:sz w:val="28"/>
                          <w:szCs w:val="28"/>
                          <w:lang w:val="en-US" w:eastAsia="zh-CN" w:bidi="ar"/>
                        </w:rPr>
                        <w:t>4</w:t>
                      </w:r>
                      <w:r>
                        <w:rPr>
                          <w:rFonts w:hint="eastAsia" w:ascii="仿宋_GB2312" w:hAnsi="仿宋_GB2312" w:cs="仿宋_GB2312"/>
                          <w:sz w:val="28"/>
                          <w:szCs w:val="28"/>
                          <w:lang w:val="en-US" w:eastAsia="zh-CN"/>
                        </w:rPr>
                        <w:t>月2日印发</w:t>
                      </w:r>
                      <w:r>
                        <w:rPr>
                          <w:rFonts w:hint="eastAsia" w:ascii="仿宋_GB2312" w:hAnsi="仿宋_GB2312" w:cs="仿宋_GB2312"/>
                          <w:sz w:val="28"/>
                          <w:szCs w:val="28"/>
                        </w:rPr>
                        <w:t xml:space="preserve">      </w:t>
                      </w:r>
                      <w:r>
                        <w:rPr>
                          <w:rFonts w:hint="eastAsia"/>
                        </w:rPr>
                        <w:t xml:space="preserve">   «printdate»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ge">
                  <wp:posOffset>9420860</wp:posOffset>
                </wp:positionV>
                <wp:extent cx="5610225" cy="0"/>
                <wp:effectExtent l="0" t="0" r="0" b="0"/>
                <wp:wrapTopAndBottom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225" cy="0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15pt;margin-top:741.8pt;height:0pt;width:441.75pt;mso-position-vertical-relative:page;mso-wrap-distance-bottom:0pt;mso-wrap-distance-top:0pt;z-index:251661312;mso-width-relative:page;mso-height-relative:page;" filled="f" stroked="t" coordsize="21600,21600" o:gfxdata="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938nj9gAAAALAQAADwAAAAAAAAABACAAAAAiAAAAZHJzL2Rvd25yZXYueG1sUEsB&#10;AhQAFAAAAAgAh07iQMCx67r1AQAA5QMAAA4AAAAAAAAAAQAgAAAAJwEAAGRycy9lMm9Eb2MueG1s&#10;UEsFBgAAAAAGAAYAWQEAAI4FAAAAAA==&#10;">
                <v:fill on="f" focussize="0,0"/>
                <v:stroke weight="1.2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p w14:paraId="3A2A6CA7"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pict>
          <v:shape id="_x0000_s1026" o:spid="_x0000_s1026" o:spt="75" alt="http://portal.fj.cegn.cn:8081/lw-zwbg-cloud//core/upload/2026/04/02/20260402035814864.bmp" type="#_x0000_t75" style="position:absolute;left:0pt;margin-left:293.65pt;margin-top:643.85pt;height:36pt;width:145pt;mso-position-horizontal-relative:margin;mso-position-vertical-relative:margin;z-index:251665408;mso-width-relative:page;mso-height-relative:page;" filled="f" o:preferrelative="t" stroked="f" coordsize="21600,21600">
            <v:path/>
            <v:fill on="f" focussize="0,0"/>
            <v:stroke on="f"/>
            <v:imagedata r:id="rId10" r:href="rId11" o:title=""/>
            <o:lock v:ext="edit" aspectratio="f"/>
          </v:shape>
        </w:pic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ge">
                  <wp:posOffset>9017000</wp:posOffset>
                </wp:positionV>
                <wp:extent cx="5617845" cy="0"/>
                <wp:effectExtent l="0" t="0" r="0" b="0"/>
                <wp:wrapTopAndBottom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7845" cy="0"/>
                        </a:xfrm>
                        <a:prstGeom prst="line">
                          <a:avLst/>
                        </a:prstGeom>
                        <a:ln w="1587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9pt;margin-top:710pt;height:0pt;width:442.35pt;mso-position-vertical-relative:page;mso-wrap-distance-bottom:0pt;mso-wrap-distance-top:0pt;z-index:251660288;mso-width-relative:page;mso-height-relative:page;" filled="f" stroked="t" coordsize="21600,21600" o:gfxdata="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Ccuqbt1gAAAAsBAAAPAAAAAAAAAAEAIAAAACIAAABkcnMvZG93bnJldi54bWxQSwEC&#10;FAAUAAAACACHTuJACxe0UPYBAADlAwAADgAAAAAAAAABACAAAAAlAQAAZHJzL2Uyb0RvYy54bWxQ&#10;SwUGAAAAAAYABgBZAQAAjQUAAAAA&#10;">
                <v:fill on="f" focussize="0,0"/>
                <v:stroke weight="1.25pt"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531" w:bottom="1531" w:left="1531" w:header="851" w:footer="1077" w:gutter="0"/>
      <w:pgNumType w:fmt="decimal"/>
      <w:cols w:space="425" w:num="1"/>
      <w:titlePg/>
      <w:docGrid w:type="linesAndChar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Droid Sans Fallbac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3D789D">
    <w:pPr>
      <w:pStyle w:val="3"/>
      <w:jc w:val="center"/>
      <w:rPr>
        <w:rFonts w:hint="eastAsia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0EED6B">
                          <w:pPr>
                            <w:pStyle w:val="3"/>
                            <w:jc w:val="center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0EED6B">
                    <w:pPr>
                      <w:pStyle w:val="3"/>
                      <w:jc w:val="center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E4E75F">
    <w:pPr>
      <w:pStyle w:val="3"/>
      <w:rPr>
        <w:rFonts w:hint="eastAsia"/>
        <w:sz w:val="28"/>
      </w:rPr>
    </w:pPr>
    <w:r>
      <w:rPr>
        <w:rFonts w:hint="eastAsia"/>
        <w:sz w:val="28"/>
      </w:rPr>
      <w:t xml:space="preserve">— </w:t>
    </w:r>
    <w:r>
      <w:rPr>
        <w:rStyle w:val="7"/>
        <w:sz w:val="28"/>
      </w:rPr>
      <w:fldChar w:fldCharType="begin"/>
    </w:r>
    <w:r>
      <w:rPr>
        <w:rStyle w:val="7"/>
        <w:sz w:val="28"/>
      </w:rPr>
      <w:instrText xml:space="preserve"> PAGE </w:instrText>
    </w:r>
    <w:r>
      <w:rPr>
        <w:rStyle w:val="7"/>
        <w:sz w:val="28"/>
      </w:rPr>
      <w:fldChar w:fldCharType="separate"/>
    </w:r>
    <w:r>
      <w:rPr>
        <w:rStyle w:val="7"/>
        <w:sz w:val="28"/>
      </w:rPr>
      <w:t>2</w:t>
    </w:r>
    <w:r>
      <w:rPr>
        <w:rStyle w:val="7"/>
        <w:sz w:val="28"/>
      </w:rPr>
      <w:fldChar w:fldCharType="end"/>
    </w:r>
    <w:r>
      <w:rPr>
        <w:rFonts w:hint="eastAsia"/>
        <w:sz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4465A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F368EA">
                          <w:pPr>
                            <w:pStyle w:val="3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F368EA">
                    <w:pPr>
                      <w:pStyle w:val="3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5EC32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6DC75">
    <w:pPr>
      <w:pStyle w:val="4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05180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6C7152"/>
    <w:rsid w:val="0153673B"/>
    <w:rsid w:val="0506494D"/>
    <w:rsid w:val="05F16EC0"/>
    <w:rsid w:val="080253C1"/>
    <w:rsid w:val="0C647D62"/>
    <w:rsid w:val="0FF32965"/>
    <w:rsid w:val="10825D9E"/>
    <w:rsid w:val="128C3D0D"/>
    <w:rsid w:val="13A405A1"/>
    <w:rsid w:val="15FF2A2D"/>
    <w:rsid w:val="17FB2FB8"/>
    <w:rsid w:val="226C7152"/>
    <w:rsid w:val="22E948D4"/>
    <w:rsid w:val="231F310B"/>
    <w:rsid w:val="238C0BD7"/>
    <w:rsid w:val="26FB585E"/>
    <w:rsid w:val="26FC6002"/>
    <w:rsid w:val="2D532D00"/>
    <w:rsid w:val="2EB3664A"/>
    <w:rsid w:val="2EEF2F30"/>
    <w:rsid w:val="31EB1674"/>
    <w:rsid w:val="33854B73"/>
    <w:rsid w:val="3FED6871"/>
    <w:rsid w:val="43180226"/>
    <w:rsid w:val="47AD4061"/>
    <w:rsid w:val="491D1B81"/>
    <w:rsid w:val="494A171E"/>
    <w:rsid w:val="4D6B1645"/>
    <w:rsid w:val="4D7C5D9E"/>
    <w:rsid w:val="4F080938"/>
    <w:rsid w:val="4F1C8AF3"/>
    <w:rsid w:val="59271600"/>
    <w:rsid w:val="59FB1403"/>
    <w:rsid w:val="5C5A549E"/>
    <w:rsid w:val="5C73E28A"/>
    <w:rsid w:val="5CC60834"/>
    <w:rsid w:val="5D2903DC"/>
    <w:rsid w:val="5E8A4FD5"/>
    <w:rsid w:val="5EFFF5C1"/>
    <w:rsid w:val="5F1D429B"/>
    <w:rsid w:val="65640A91"/>
    <w:rsid w:val="71B33DA4"/>
    <w:rsid w:val="71DA3329"/>
    <w:rsid w:val="72FEE8AA"/>
    <w:rsid w:val="757F2F46"/>
    <w:rsid w:val="77396BAF"/>
    <w:rsid w:val="79B5329B"/>
    <w:rsid w:val="7E6F9DC4"/>
    <w:rsid w:val="7FD10D5B"/>
    <w:rsid w:val="7FFD01B9"/>
    <w:rsid w:val="F7FFC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next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http://portal.fj.cegn.cn:8081/lw-zwbg-cloud//core/upload/2026/04/02/20260402035814864.bmp" TargetMode="Externa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2020-12-24T07:23:00Z</dcterms:created>
  <dc:creator>福建省科技厅</dc:creator>
  <cp:lastModifiedBy>江风汉月</cp:lastModifiedBy>
  <cp:lastPrinted>2026-04-03T16:10:40Z</cp:lastPrinted>
  <dcterms:modified xsi:type="dcterms:W3CDTF">2026-04-03T17:16:15Z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1FC82C47EDF54B1A821A10F25AC505B2</vt:lpwstr>
  </property>
</Properties>
</file>